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F4" w:rsidRDefault="00747FF4" w:rsidP="00747FF4">
      <w:pPr>
        <w:pStyle w:val="1"/>
        <w:jc w:val="center"/>
      </w:pPr>
      <w:r>
        <w:rPr>
          <w:b/>
          <w:bCs/>
          <w:color w:val="000000"/>
        </w:rPr>
        <w:t>ПАМЯТКА!</w:t>
      </w:r>
    </w:p>
    <w:p w:rsidR="00747FF4" w:rsidRDefault="00747FF4" w:rsidP="00747FF4">
      <w:pPr>
        <w:pStyle w:val="1"/>
        <w:spacing w:after="300"/>
        <w:jc w:val="center"/>
      </w:pPr>
      <w:bookmarkStart w:id="0" w:name="_GoBack"/>
      <w:r>
        <w:rPr>
          <w:b/>
          <w:bCs/>
          <w:color w:val="000000"/>
        </w:rPr>
        <w:t>ВАКЦИНАЦИЯ ОТ COVID-19 «Гам-КОВИД-</w:t>
      </w:r>
      <w:proofErr w:type="spellStart"/>
      <w:r>
        <w:rPr>
          <w:b/>
          <w:bCs/>
          <w:color w:val="000000"/>
        </w:rPr>
        <w:t>Вак</w:t>
      </w:r>
      <w:proofErr w:type="spellEnd"/>
      <w:r>
        <w:rPr>
          <w:b/>
          <w:bCs/>
          <w:color w:val="000000"/>
        </w:rPr>
        <w:t>»</w:t>
      </w:r>
      <w:bookmarkEnd w:id="0"/>
      <w:r>
        <w:rPr>
          <w:b/>
          <w:bCs/>
          <w:color w:val="000000"/>
        </w:rPr>
        <w:t>!</w:t>
      </w:r>
    </w:p>
    <w:p w:rsidR="00747FF4" w:rsidRDefault="00747FF4" w:rsidP="00747FF4">
      <w:pPr>
        <w:pStyle w:val="1"/>
        <w:spacing w:after="300"/>
        <w:jc w:val="both"/>
      </w:pPr>
      <w:r>
        <w:rPr>
          <w:color w:val="000000"/>
        </w:rPr>
        <w:t xml:space="preserve">Комбинированная векторная вакцина для профилактики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инфекции, вызываемой вирусом SARS-CoV-2 - «Гам-КОВИД-</w:t>
      </w:r>
      <w:proofErr w:type="spellStart"/>
      <w:r>
        <w:rPr>
          <w:color w:val="000000"/>
        </w:rPr>
        <w:t>Вак</w:t>
      </w:r>
      <w:proofErr w:type="spellEnd"/>
      <w:r>
        <w:rPr>
          <w:color w:val="000000"/>
        </w:rPr>
        <w:t>». Вакцинации подлежат лица, не болевшие COVID-19 и не имеющие противопоказаний</w:t>
      </w:r>
    </w:p>
    <w:p w:rsidR="00747FF4" w:rsidRDefault="00747FF4" w:rsidP="00747FF4">
      <w:pPr>
        <w:pStyle w:val="1"/>
        <w:spacing w:after="300"/>
        <w:jc w:val="both"/>
      </w:pPr>
      <w:r>
        <w:rPr>
          <w:b/>
          <w:bCs/>
          <w:color w:val="000000"/>
        </w:rPr>
        <w:t>Временные противопоказания: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64"/>
        </w:tabs>
        <w:jc w:val="both"/>
      </w:pPr>
      <w:bookmarkStart w:id="1" w:name="bookmark0"/>
      <w:bookmarkEnd w:id="1"/>
      <w:r>
        <w:rPr>
          <w:color w:val="000000"/>
        </w:rPr>
        <w:t>острые инфекционные и неинфекционные заболевания;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69"/>
        </w:tabs>
        <w:jc w:val="both"/>
      </w:pPr>
      <w:bookmarkStart w:id="2" w:name="bookmark1"/>
      <w:bookmarkEnd w:id="2"/>
      <w:r>
        <w:rPr>
          <w:color w:val="000000"/>
        </w:rPr>
        <w:t>обострение хронических заболеваний;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69"/>
        </w:tabs>
        <w:jc w:val="both"/>
      </w:pPr>
      <w:bookmarkStart w:id="3" w:name="bookmark2"/>
      <w:bookmarkEnd w:id="3"/>
      <w:r>
        <w:rPr>
          <w:color w:val="000000"/>
        </w:rPr>
        <w:t>контакт с больным Covid-19 или с подозрением на это заболевание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за 14 дней до прививки (вакцинацию проводят после 14 дней от момента контакта);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73"/>
        </w:tabs>
        <w:spacing w:after="300"/>
        <w:jc w:val="both"/>
      </w:pPr>
      <w:bookmarkStart w:id="4" w:name="bookmark3"/>
      <w:bookmarkEnd w:id="4"/>
      <w:r>
        <w:rPr>
          <w:color w:val="000000"/>
        </w:rPr>
        <w:t>при перенесении острой инфекции между 1 и 2 введением вакцины, второй компонент следует ввести с соблюдением интервала 21 день или, как можно быстрее, после выздоровления от острой инфекции.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>После выздоровления от острой инфекции или начала ремиссии вакцинацию проводят через 2-4 недели. При нетяжелых ОРВИ, острых инфекционных заболеваниях ЖКТ - допускается проведение вакцинации после нормализации температуры.</w:t>
      </w:r>
    </w:p>
    <w:p w:rsidR="00747FF4" w:rsidRDefault="00747FF4" w:rsidP="00747FF4">
      <w:pPr>
        <w:pStyle w:val="1"/>
        <w:spacing w:after="300"/>
        <w:jc w:val="both"/>
      </w:pPr>
      <w:r>
        <w:rPr>
          <w:b/>
          <w:bCs/>
          <w:color w:val="000000"/>
        </w:rPr>
        <w:t>Постоянные противопоказания к вакцинации: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73"/>
        </w:tabs>
        <w:jc w:val="both"/>
      </w:pPr>
      <w:bookmarkStart w:id="5" w:name="bookmark4"/>
      <w:bookmarkEnd w:id="5"/>
      <w:r>
        <w:rPr>
          <w:color w:val="000000"/>
        </w:rPr>
        <w:t>гиперчувствительность (анафилактические реакции в анамнезе) к компонентам вакцины или вакцин, содержащих аналогичные компоненты;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 xml:space="preserve">тяжелые поствакцинальные осложнения (анафилактический шок, тяжелые </w:t>
      </w:r>
      <w:proofErr w:type="spellStart"/>
      <w:r>
        <w:rPr>
          <w:color w:val="000000"/>
        </w:rPr>
        <w:t>генерализованные</w:t>
      </w:r>
      <w:proofErr w:type="spellEnd"/>
      <w:r>
        <w:rPr>
          <w:color w:val="000000"/>
        </w:rPr>
        <w:t xml:space="preserve"> аллергические реакции, судорожный синдром, температура выше 40 °C и т.д.) на введение компонента I вакцины;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69"/>
        </w:tabs>
        <w:jc w:val="both"/>
      </w:pPr>
      <w:bookmarkStart w:id="6" w:name="bookmark5"/>
      <w:bookmarkEnd w:id="6"/>
      <w:r>
        <w:rPr>
          <w:color w:val="000000"/>
        </w:rPr>
        <w:t>беременность и период грудного вскармливания;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69"/>
        </w:tabs>
        <w:spacing w:after="300"/>
        <w:jc w:val="both"/>
      </w:pPr>
      <w:bookmarkStart w:id="7" w:name="bookmark6"/>
      <w:bookmarkEnd w:id="7"/>
      <w:r>
        <w:rPr>
          <w:color w:val="000000"/>
        </w:rPr>
        <w:t>возраст до 18 лет.</w:t>
      </w:r>
    </w:p>
    <w:p w:rsidR="00747FF4" w:rsidRDefault="00747FF4" w:rsidP="00747FF4">
      <w:pPr>
        <w:pStyle w:val="1"/>
        <w:spacing w:after="300"/>
        <w:jc w:val="both"/>
      </w:pPr>
      <w:r>
        <w:rPr>
          <w:b/>
          <w:bCs/>
          <w:color w:val="000000"/>
        </w:rPr>
        <w:t xml:space="preserve">Вакцинация людей с </w:t>
      </w:r>
      <w:proofErr w:type="spellStart"/>
      <w:r>
        <w:rPr>
          <w:b/>
          <w:bCs/>
          <w:color w:val="000000"/>
        </w:rPr>
        <w:t>иммунодефицитными</w:t>
      </w:r>
      <w:proofErr w:type="spellEnd"/>
      <w:r>
        <w:rPr>
          <w:b/>
          <w:bCs/>
          <w:color w:val="000000"/>
        </w:rPr>
        <w:t xml:space="preserve"> заболеваниями и заболеваниями, при которых проводится </w:t>
      </w:r>
      <w:proofErr w:type="spellStart"/>
      <w:r>
        <w:rPr>
          <w:b/>
          <w:bCs/>
          <w:color w:val="000000"/>
        </w:rPr>
        <w:t>иммуносупрессивная</w:t>
      </w:r>
      <w:proofErr w:type="spellEnd"/>
      <w:r>
        <w:rPr>
          <w:b/>
          <w:bCs/>
          <w:color w:val="000000"/>
        </w:rPr>
        <w:t xml:space="preserve"> терапия (</w:t>
      </w:r>
      <w:proofErr w:type="gramStart"/>
      <w:r>
        <w:rPr>
          <w:b/>
          <w:bCs/>
          <w:color w:val="000000"/>
        </w:rPr>
        <w:t>онкологические</w:t>
      </w:r>
      <w:proofErr w:type="gramEnd"/>
      <w:r>
        <w:rPr>
          <w:b/>
          <w:bCs/>
          <w:color w:val="000000"/>
        </w:rPr>
        <w:t>, аутоиммунные). Безопасность и эффективность вакцины у этих групп людей не изучалась, в связи с чем, вопрос о вакцинации (польза/риск) должен решаться иммунологической комиссией.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>Перед проведением вакцинации необходимо обязательно: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73"/>
        </w:tabs>
        <w:spacing w:after="300"/>
        <w:jc w:val="both"/>
      </w:pPr>
      <w:bookmarkStart w:id="8" w:name="bookmark7"/>
      <w:bookmarkEnd w:id="8"/>
      <w:r>
        <w:rPr>
          <w:color w:val="000000"/>
        </w:rPr>
        <w:t>медицинский осмотр врача - специалиста: с измерением температуры тела, сбор эпидемиологического анамнеза, измерение сатурации, осмотр зева на основании которых врач-специалист определяет отсутствие и (или) наличие противопоказаний к вакцинации;</w:t>
      </w:r>
    </w:p>
    <w:p w:rsidR="00747FF4" w:rsidRDefault="00747FF4" w:rsidP="00747FF4">
      <w:pPr>
        <w:pStyle w:val="1"/>
        <w:spacing w:after="300"/>
        <w:sectPr w:rsidR="00747FF4" w:rsidSect="00747FF4">
          <w:pgSz w:w="11900" w:h="16840"/>
          <w:pgMar w:top="851" w:right="646" w:bottom="864" w:left="959" w:header="0" w:footer="436" w:gutter="0"/>
          <w:cols w:space="720"/>
          <w:noEndnote/>
          <w:docGrid w:linePitch="360"/>
        </w:sectPr>
      </w:pPr>
      <w:r>
        <w:rPr>
          <w:color w:val="000000"/>
        </w:rPr>
        <w:t>Вакцинацию проводят в два этапа: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18"/>
        </w:tabs>
      </w:pPr>
      <w:bookmarkStart w:id="9" w:name="bookmark8"/>
      <w:bookmarkEnd w:id="9"/>
      <w:r>
        <w:rPr>
          <w:color w:val="000000"/>
        </w:rPr>
        <w:lastRenderedPageBreak/>
        <w:t xml:space="preserve">вначале вводят компонент I в дозе 0,5 мл. Препарат вводят внутримышечно 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/3 плеча. 0</w:t>
      </w:r>
    </w:p>
    <w:p w:rsidR="00747FF4" w:rsidRDefault="00747FF4" w:rsidP="00747FF4">
      <w:pPr>
        <w:pStyle w:val="1"/>
        <w:numPr>
          <w:ilvl w:val="0"/>
          <w:numId w:val="1"/>
        </w:numPr>
        <w:tabs>
          <w:tab w:val="left" w:pos="218"/>
        </w:tabs>
        <w:spacing w:after="320"/>
      </w:pPr>
      <w:bookmarkStart w:id="10" w:name="bookmark9"/>
      <w:bookmarkEnd w:id="10"/>
      <w:r>
        <w:rPr>
          <w:color w:val="000000"/>
        </w:rPr>
        <w:t xml:space="preserve">на 21 день вводят компонент II в дозе 0,5 мл. Препарат вводят внутримышечно в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/3 плеча.</w:t>
      </w:r>
    </w:p>
    <w:p w:rsidR="00747FF4" w:rsidRDefault="00747FF4" w:rsidP="00747FF4">
      <w:pPr>
        <w:pStyle w:val="1"/>
        <w:spacing w:after="320"/>
        <w:jc w:val="both"/>
      </w:pPr>
      <w:r>
        <w:rPr>
          <w:b/>
          <w:bCs/>
          <w:color w:val="000000"/>
        </w:rPr>
        <w:t>В течение 30 мин после вакцинации просим Вас оставаться в учреждении здравоохранения для предупреждения возможных аллергических реакций и поствакцинальных осложнениях.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>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 xml:space="preserve">Реже отмечаются тошнота, диспепсия, снижение аппетита, иногда - увеличение </w:t>
      </w:r>
      <w:proofErr w:type="gramStart"/>
      <w:r>
        <w:rPr>
          <w:color w:val="000000"/>
        </w:rPr>
        <w:t>регионарных</w:t>
      </w:r>
      <w:proofErr w:type="gramEnd"/>
      <w:r>
        <w:rPr>
          <w:color w:val="000000"/>
        </w:rPr>
        <w:t xml:space="preserve"> лимфоузлов. Возможно развитие аллергических реакций.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>Рекомендуется в течение 3-х дней после вакцинации не мочить место инъекции, не посещать баню (сауну), не принимать алкоголь, избегать чрезмерных физических нагрузок.</w:t>
      </w:r>
    </w:p>
    <w:p w:rsidR="00747FF4" w:rsidRDefault="00747FF4" w:rsidP="00747FF4">
      <w:pPr>
        <w:pStyle w:val="1"/>
        <w:jc w:val="both"/>
      </w:pPr>
      <w:r>
        <w:rPr>
          <w:color w:val="000000"/>
        </w:rPr>
        <w:t xml:space="preserve">При покраснении, отечности, болезненности места вакцинации принять антигистаминные средства (супрастин, </w:t>
      </w:r>
      <w:proofErr w:type="spellStart"/>
      <w:r>
        <w:rPr>
          <w:color w:val="000000"/>
        </w:rPr>
        <w:t>фенкарол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лоратодин</w:t>
      </w:r>
      <w:proofErr w:type="spellEnd"/>
      <w:r>
        <w:rPr>
          <w:color w:val="000000"/>
        </w:rPr>
        <w:t>).</w:t>
      </w:r>
    </w:p>
    <w:p w:rsidR="00747FF4" w:rsidRDefault="00747FF4" w:rsidP="00747FF4">
      <w:pPr>
        <w:pStyle w:val="1"/>
        <w:spacing w:after="320"/>
        <w:jc w:val="both"/>
      </w:pPr>
      <w:r>
        <w:rPr>
          <w:color w:val="000000"/>
        </w:rPr>
        <w:t xml:space="preserve">При повышении температуры тела после вакцинации принять нестероидные противовоспалительные средства (парацетамол, </w:t>
      </w:r>
      <w:proofErr w:type="spellStart"/>
      <w:r>
        <w:rPr>
          <w:color w:val="000000"/>
        </w:rPr>
        <w:t>нимесулид</w:t>
      </w:r>
      <w:proofErr w:type="spellEnd"/>
      <w:r>
        <w:rPr>
          <w:color w:val="000000"/>
        </w:rPr>
        <w:t xml:space="preserve"> и т.д.).</w:t>
      </w:r>
    </w:p>
    <w:p w:rsidR="008A65BE" w:rsidRPr="00747FF4" w:rsidRDefault="00747FF4" w:rsidP="00747FF4">
      <w:pPr>
        <w:rPr>
          <w:rFonts w:ascii="Times New Roman" w:hAnsi="Times New Roman" w:cs="Times New Roman"/>
          <w:sz w:val="28"/>
          <w:szCs w:val="28"/>
        </w:rPr>
      </w:pPr>
      <w:r w:rsidRPr="00747FF4">
        <w:rPr>
          <w:rFonts w:ascii="Times New Roman" w:hAnsi="Times New Roman" w:cs="Times New Roman"/>
          <w:sz w:val="28"/>
          <w:szCs w:val="28"/>
        </w:rPr>
        <w:t>Вакцина против COVID-19 не отменяет для привитого пациента необходимость носить маски и перчатки, а также соблюдать социальную дистанцию.</w:t>
      </w:r>
    </w:p>
    <w:sectPr w:rsidR="008A65BE" w:rsidRPr="0074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E46"/>
    <w:multiLevelType w:val="multilevel"/>
    <w:tmpl w:val="2AE28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F4"/>
    <w:rsid w:val="000E55B0"/>
    <w:rsid w:val="004F2728"/>
    <w:rsid w:val="00747FF4"/>
    <w:rsid w:val="0081507B"/>
    <w:rsid w:val="009B7B67"/>
    <w:rsid w:val="00B22233"/>
    <w:rsid w:val="00D2422D"/>
    <w:rsid w:val="00E568E9"/>
    <w:rsid w:val="00F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FF4"/>
    <w:rPr>
      <w:rFonts w:eastAsia="Times New Roman"/>
      <w:szCs w:val="28"/>
    </w:rPr>
  </w:style>
  <w:style w:type="paragraph" w:customStyle="1" w:styleId="1">
    <w:name w:val="Основной текст1"/>
    <w:basedOn w:val="a"/>
    <w:link w:val="a3"/>
    <w:rsid w:val="00747FF4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7FF4"/>
    <w:rPr>
      <w:rFonts w:eastAsia="Times New Roman"/>
      <w:szCs w:val="28"/>
    </w:rPr>
  </w:style>
  <w:style w:type="paragraph" w:customStyle="1" w:styleId="1">
    <w:name w:val="Основной текст1"/>
    <w:basedOn w:val="a"/>
    <w:link w:val="a3"/>
    <w:rsid w:val="00747FF4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2021-03-03T08:48:00Z</dcterms:created>
  <dcterms:modified xsi:type="dcterms:W3CDTF">2021-03-03T08:51:00Z</dcterms:modified>
</cp:coreProperties>
</file>